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98" w:rsidRDefault="009E53F5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10</w:t>
      </w:r>
    </w:p>
    <w:p w:rsidR="00523898" w:rsidRDefault="009E53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523898" w:rsidRDefault="005238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«28» декабря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523898" w:rsidRDefault="005238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18:07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начала конференции: 18 часов 07 минут.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19 часов 02 минуты.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г. Казань, ул. Кремлевская, д. 18 (главный корпус Казанского федерального университета), восточное крыло, конференц-зал.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зарегистрировалось 72 человека, из которых 3 человека действовали через представителей на основании доверенностей.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и члены Правления ЖСК «Университетский городок КФУ»: Ходжиев Алишер Рауфович, Петров Сергей Игорьевич, Хасанов Ришат Аухатович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Правления ЖСК А.Р. Ходжиева, секретарем — члена Правления ЖСК Р.А. Хасанова, лицом, проводящим подсчет голосов — члена ЖСК Гареева Булата Ирековича. </w:t>
      </w:r>
    </w:p>
    <w:p w:rsidR="00523898" w:rsidRDefault="005238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23898" w:rsidRDefault="005238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избрать председателем конференции Председателя Правления ЖСК А.Р. Ходжиева, секретарем конференции - члена Правления ЖСК Р.А. Хасанова, лицом, проводящим подсчет голосов участников конференции —  члена ЖСК Б.И. Гареева.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lastRenderedPageBreak/>
        <w:t>1. О продлении срока окончательного выбора площади и этажности индивидуального жилого дома членами ЖСК «Университетский городок КФУ».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2. Об утверждении решения о добровольном выходе из членов ЖСК «Университетский городок КФУ» лиц, подавших соответствующие заявления.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3. О приеме в члены ЖСК «Университетский городок КФУ» граждан, имеющих право на участие в ЖСК и подавших соответствующие заявления.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 xml:space="preserve">4. </w:t>
      </w:r>
      <w:bookmarkStart w:id="1" w:name="__DdeLink__4115_572370851"/>
      <w:r>
        <w:rPr>
          <w:sz w:val="28"/>
          <w:szCs w:val="28"/>
        </w:rPr>
        <w:t>Об утверждении сметы доходов и расходов ЖСК «Университетский городок КФУ» на 2016 год</w:t>
      </w:r>
      <w:bookmarkEnd w:id="1"/>
      <w:r>
        <w:rPr>
          <w:sz w:val="28"/>
          <w:szCs w:val="28"/>
        </w:rPr>
        <w:t>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5. О кредитовании членов ЖСК «Университетский городок КФУ» (с участием представителей Сбербанка).</w:t>
      </w:r>
    </w:p>
    <w:p w:rsidR="00523898" w:rsidRDefault="00523898">
      <w:pPr>
        <w:pStyle w:val="fr-tag"/>
        <w:jc w:val="both"/>
        <w:rPr>
          <w:sz w:val="28"/>
          <w:szCs w:val="28"/>
        </w:rPr>
      </w:pP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1. По первому вопросу: «О продлении срока окончательного выбора площади и этажности индивидуального жилого дома членами ЖСК «Университетский городок КФУ»».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А.Р. Ходжиев сообщил о том, что окончательная дата выбора площади и этажности индивидуального жилого дома членами ЖСК  на конференции членов ЖСК 30.11.2015 была установлена 25 декабря 2015. В связи с задержкой подготовки эскизов фасадов индивидуальных жилых домов проектной организацией предложено продлить срок окончательного выбора площади и этажности индивидуального жилого дома членами ЖСК до 15 января 2016 года.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98" w:rsidRDefault="009E5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 продлить срок окончательного выбора площади и этажности индивидуального жилого дома членами ЖСК «Университетский городок КФУ» до 15 января 2016 года.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2. По второму вопросу: «Об утверждении решения о добровольном выходе из членов ЖСК «Университетский городок КФУ» лиц, подавших соответствующие заявления».</w:t>
      </w:r>
    </w:p>
    <w:p w:rsidR="00523898" w:rsidRDefault="009E53F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Ходжиев сообщил о поступлении в правление ЖСК «Университетский городок КФУ» письменных заявлений от членов ЖСК Саубанов Кабир </w:t>
      </w:r>
      <w:r>
        <w:rPr>
          <w:rFonts w:ascii="Times New Roman" w:hAnsi="Times New Roman" w:cs="Times New Roman"/>
          <w:sz w:val="28"/>
          <w:szCs w:val="28"/>
        </w:rPr>
        <w:lastRenderedPageBreak/>
        <w:t>Рашитович, Гумеровой Анисы Азатовны о добровольном выходе из числа членов ЖСК «Университетский городок КФУ». Правлением ЖСК было принято решение о вынесении на утверждение конференции членов ЖСК «Университетский городок КФУ» решения о добровольном выходе К.Р. Саубанова и А.А. Гумеровой из числа членов ЖСК. Было предложено утвердить указанное решение.</w:t>
      </w:r>
    </w:p>
    <w:p w:rsidR="00523898" w:rsidRDefault="00523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решение о добровольном выходе из членов ЖСК «Университетский городок КФУ» К.Р. Саубанова и А.А. Гумеровой.</w:t>
      </w:r>
    </w:p>
    <w:p w:rsidR="00523898" w:rsidRDefault="009E53F5">
      <w:pPr>
        <w:pStyle w:val="fr-tag"/>
        <w:jc w:val="both"/>
      </w:pPr>
      <w:r>
        <w:rPr>
          <w:sz w:val="28"/>
          <w:szCs w:val="28"/>
        </w:rPr>
        <w:t>3. По третьему вопросу: «О приеме в члены ЖСК «Университетский городок КФУ» граждан, имеющих право на участие в ЖСК и подавших соответствующие заявления»</w:t>
      </w:r>
    </w:p>
    <w:p w:rsidR="00523898" w:rsidRDefault="009E53F5">
      <w:pPr>
        <w:pStyle w:val="fr-tag"/>
        <w:spacing w:before="0" w:after="0"/>
        <w:jc w:val="both"/>
      </w:pPr>
      <w:r>
        <w:rPr>
          <w:sz w:val="28"/>
          <w:szCs w:val="28"/>
        </w:rPr>
        <w:t>А.Р. Ходжиев сообщил, что в правление ЖСК поступили заявления о приеме в члены ЖСК от Хузиной Алины Ильшатовны, Шариповой Маргариты Рашидовны. Указанные граждане из числа профессорско-преподавательского состава КФУ имеют право быть принятыми в члены ЖСК, созданного в соответствии с Федеральным законом от 24.07.2008 №161-ФЗ «О содействии развитию жилищного строительства».</w:t>
      </w:r>
    </w:p>
    <w:p w:rsidR="00523898" w:rsidRDefault="009E53F5">
      <w:pPr>
        <w:pStyle w:val="fr-tag"/>
        <w:spacing w:before="0" w:after="0"/>
        <w:jc w:val="both"/>
      </w:pPr>
      <w:r>
        <w:rPr>
          <w:sz w:val="28"/>
          <w:szCs w:val="28"/>
        </w:rPr>
        <w:tab/>
        <w:t>Поступило предложение проголосовать за прием в члены ЖСК «Университетский городок КФУ» Хузиной Алины Ильшатовны и Шариповой Маргариты Рашидовны.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принять в члены ЖСК «Университетский городок КФУ» Хузину Алину Ильшатовнуи Шарипову Маргариту Рашидовну.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По четвертому вопросу: «Об утверждении сметы доходов и расходов ЖСК «Университетский городок КФУ» на 2016 год».</w:t>
      </w:r>
    </w:p>
    <w:p w:rsidR="00523898" w:rsidRDefault="005238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898" w:rsidRDefault="009E53F5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Ходжиев </w:t>
      </w:r>
      <w:r w:rsidR="007E267B">
        <w:rPr>
          <w:rFonts w:ascii="Times New Roman" w:hAnsi="Times New Roman" w:cs="Times New Roman"/>
          <w:sz w:val="28"/>
          <w:szCs w:val="28"/>
        </w:rPr>
        <w:t xml:space="preserve">представил вниманию участников конференции смету расходов на организацию деятельности ЖСК в 2016 году (Приложение 1). Сообщил, что данная смета тождественна смете 2015 года. Предложено </w:t>
      </w:r>
      <w:r w:rsidR="007E267B">
        <w:rPr>
          <w:rFonts w:ascii="Times New Roman" w:hAnsi="Times New Roman" w:cs="Times New Roman"/>
          <w:sz w:val="28"/>
          <w:szCs w:val="28"/>
        </w:rPr>
        <w:lastRenderedPageBreak/>
        <w:t>утвердить смету расходов на организацию деятельности ЖСК «Университетский городок КФУ» на 2016 год в предложенном варианте.</w:t>
      </w:r>
    </w:p>
    <w:p w:rsidR="007E267B" w:rsidRDefault="007E267B" w:rsidP="007E26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67B" w:rsidRDefault="007E267B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E267B" w:rsidRDefault="007E267B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E267B" w:rsidRDefault="007E267B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- 71;</w:t>
      </w:r>
    </w:p>
    <w:p w:rsidR="007E267B" w:rsidRDefault="007E267B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E267B" w:rsidRDefault="007E267B" w:rsidP="007E267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- 1 (Г.Ф. Калганова).</w:t>
      </w:r>
    </w:p>
    <w:p w:rsidR="00523898" w:rsidRDefault="007E267B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утвердить </w:t>
      </w:r>
      <w:r w:rsidR="009E53F5">
        <w:rPr>
          <w:sz w:val="28"/>
          <w:szCs w:val="28"/>
        </w:rPr>
        <w:t xml:space="preserve">предложенную в Приложении 1 </w:t>
      </w:r>
      <w:r>
        <w:rPr>
          <w:sz w:val="28"/>
          <w:szCs w:val="28"/>
        </w:rPr>
        <w:t>смету расходов на организацию деятельности ЖСК «Университетский городок КФУ» на 2016 год.</w:t>
      </w:r>
    </w:p>
    <w:p w:rsidR="009E53F5" w:rsidRDefault="009E53F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5. По пятому вопросу «О кредитовании членов ЖСК «Университетский городок КФУ»»</w:t>
      </w:r>
    </w:p>
    <w:p w:rsidR="009E53F5" w:rsidRDefault="009E53F5" w:rsidP="008966FA">
      <w:pPr>
        <w:pStyle w:val="fr-tag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Р.А. Хасанов сообщил о проведенной правлением ЖСК работе по поиску подходящих членам ЖСК кредитных продуктов. Была озвучена потенциальная возможность совместной подготовки специального кредитного продукта для членов ЖСК, созданных в соответствии с ФЗ №161 «О содействии развитию жилищного строительства», Сбербанком и АИЖК. Также было указано фундаментальное препятствие для получения целевого кредита под строительство индивидуального жилого дома посредством участия в ЖСК - отсутствие легального залога (пай в ЖСК не может являться залогом согласно новой редакции Гражданского кодекса РФ).</w:t>
      </w:r>
    </w:p>
    <w:p w:rsidR="009E53F5" w:rsidRDefault="009E53F5" w:rsidP="008966FA">
      <w:pPr>
        <w:pStyle w:val="fr-tag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причинам доступными для членов ЖСК были названы потребительские кредиты, которые имеют достаточно длительный срок погашения, предполагают выдачу достаточных для уплаты паевых взносов в ЖСК денежных сумм и допускают предоставление в залог принадлежащего </w:t>
      </w:r>
      <w:r w:rsidR="008966FA">
        <w:rPr>
          <w:sz w:val="28"/>
          <w:szCs w:val="28"/>
        </w:rPr>
        <w:t>заемщику или третьим лицам недвижимого имущества.</w:t>
      </w:r>
    </w:p>
    <w:p w:rsidR="008966FA" w:rsidRDefault="008966FA" w:rsidP="008966FA">
      <w:pPr>
        <w:pStyle w:val="fr-tag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приглашенными представителями Банка Татарстан ПАО Сбербанк был представлен соответствующий указанным выше критериям кредитный продукт.</w:t>
      </w:r>
    </w:p>
    <w:p w:rsidR="008966FA" w:rsidRDefault="008966FA" w:rsidP="008966FA">
      <w:pPr>
        <w:pStyle w:val="fr-tag"/>
        <w:spacing w:before="0" w:after="0"/>
        <w:jc w:val="both"/>
        <w:rPr>
          <w:sz w:val="28"/>
          <w:szCs w:val="28"/>
        </w:rPr>
      </w:pPr>
    </w:p>
    <w:p w:rsidR="008966FA" w:rsidRDefault="008966FA" w:rsidP="008966FA">
      <w:pPr>
        <w:pStyle w:val="fr-tag"/>
        <w:spacing w:before="0" w:after="0"/>
        <w:jc w:val="both"/>
        <w:rPr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523898" w:rsidRDefault="009E53F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523898" w:rsidRDefault="005238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98" w:rsidRDefault="009E53F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523898" w:rsidRDefault="009E53F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8966FA" w:rsidRDefault="008966FA">
      <w:pPr>
        <w:suppressAutoHyphens w:val="0"/>
        <w:spacing w:after="0"/>
        <w:sectPr w:rsidR="008966FA" w:rsidSect="00523898">
          <w:headerReference w:type="default" r:id="rId7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8966FA" w:rsidRPr="008966FA" w:rsidRDefault="008966FA">
      <w:pPr>
        <w:rPr>
          <w:rFonts w:ascii="Times New Roman" w:hAnsi="Times New Roman" w:cs="Times New Roman"/>
          <w:sz w:val="28"/>
          <w:szCs w:val="28"/>
        </w:rPr>
      </w:pPr>
      <w:r w:rsidRPr="008966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Pr="008966FA">
        <w:rPr>
          <w:rFonts w:ascii="Times New Roman" w:hAnsi="Times New Roman" w:cs="Times New Roman"/>
          <w:sz w:val="28"/>
          <w:szCs w:val="28"/>
        </w:rPr>
        <w:t xml:space="preserve"> к Протоколу №10 конференции членов ЖСК «Университетский городок КФУ» от 28.12.2015</w:t>
      </w:r>
    </w:p>
    <w:tbl>
      <w:tblPr>
        <w:tblpPr w:leftFromText="180" w:rightFromText="180" w:horzAnchor="margin" w:tblpY="793"/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140"/>
        <w:gridCol w:w="4380"/>
      </w:tblGrid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Статья расходов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Сумма за месяц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Сумма за год</w:t>
            </w:r>
          </w:p>
        </w:tc>
      </w:tr>
      <w:tr w:rsidR="008966FA" w:rsidRPr="00E006F5" w:rsidTr="00165372">
        <w:trPr>
          <w:trHeight w:val="447"/>
        </w:trPr>
        <w:tc>
          <w:tcPr>
            <w:tcW w:w="1316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Вознаграждение Правлению ЖСК:</w:t>
            </w:r>
          </w:p>
        </w:tc>
      </w:tr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Председатель</w:t>
            </w:r>
            <w:r>
              <w:rPr>
                <w:b/>
                <w:bCs/>
              </w:rPr>
              <w:t xml:space="preserve"> Правления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34 000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408 000</w:t>
            </w:r>
          </w:p>
        </w:tc>
      </w:tr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Члены Правления/ 4 чел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17 000/ 68 000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816 000</w:t>
            </w:r>
          </w:p>
        </w:tc>
      </w:tr>
      <w:tr w:rsidR="008966FA" w:rsidRPr="00E006F5" w:rsidTr="00165372">
        <w:trPr>
          <w:trHeight w:val="134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Отчисления в фонды социального страхования (30,2 %)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30 804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369648</w:t>
            </w:r>
          </w:p>
        </w:tc>
      </w:tr>
      <w:tr w:rsidR="008966FA" w:rsidRPr="00E006F5" w:rsidTr="00165372">
        <w:trPr>
          <w:trHeight w:val="447"/>
        </w:trPr>
        <w:tc>
          <w:tcPr>
            <w:tcW w:w="13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Другие расходы:</w:t>
            </w:r>
          </w:p>
        </w:tc>
      </w:tr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 xml:space="preserve">Командировочные расходы 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180 000</w:t>
            </w:r>
          </w:p>
        </w:tc>
      </w:tr>
      <w:tr w:rsidR="008966FA" w:rsidRPr="00E006F5" w:rsidTr="00165372">
        <w:trPr>
          <w:trHeight w:val="1149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Накладные расходы (канцтовары, расходы на оргтехнику)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60 000</w:t>
            </w:r>
          </w:p>
        </w:tc>
      </w:tr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Бухгалтерские услуги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>
              <w:t>10 000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120 000</w:t>
            </w:r>
          </w:p>
        </w:tc>
      </w:tr>
      <w:tr w:rsidR="008966FA" w:rsidRPr="00E006F5" w:rsidTr="00165372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Отправка отчетов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>
              <w:t>250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3000</w:t>
            </w:r>
          </w:p>
        </w:tc>
      </w:tr>
      <w:tr w:rsidR="008966FA" w:rsidRPr="00E006F5" w:rsidTr="00165372">
        <w:trPr>
          <w:trHeight w:val="1242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rPr>
                <w:b/>
                <w:bCs/>
              </w:rPr>
              <w:t>ИТОГО: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162 804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6FA" w:rsidRPr="00E006F5" w:rsidRDefault="008966FA" w:rsidP="00165372">
            <w:r w:rsidRPr="00E006F5">
              <w:t>1956648</w:t>
            </w:r>
          </w:p>
        </w:tc>
      </w:tr>
    </w:tbl>
    <w:p w:rsidR="008966FA" w:rsidRDefault="008966FA"/>
    <w:sectPr w:rsidR="008966FA" w:rsidSect="008966FA"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12" w:rsidRDefault="002E1712" w:rsidP="00523898">
      <w:pPr>
        <w:spacing w:after="0" w:line="240" w:lineRule="auto"/>
      </w:pPr>
      <w:r>
        <w:separator/>
      </w:r>
    </w:p>
  </w:endnote>
  <w:endnote w:type="continuationSeparator" w:id="0">
    <w:p w:rsidR="002E1712" w:rsidRDefault="002E1712" w:rsidP="005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12" w:rsidRDefault="002E1712" w:rsidP="00523898">
      <w:pPr>
        <w:spacing w:after="0" w:line="240" w:lineRule="auto"/>
      </w:pPr>
      <w:r>
        <w:separator/>
      </w:r>
    </w:p>
  </w:footnote>
  <w:footnote w:type="continuationSeparator" w:id="0">
    <w:p w:rsidR="002E1712" w:rsidRDefault="002E1712" w:rsidP="0052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63238"/>
      <w:docPartObj>
        <w:docPartGallery w:val="Page Numbers (Top of Page)"/>
        <w:docPartUnique/>
      </w:docPartObj>
    </w:sdtPr>
    <w:sdtEndPr/>
    <w:sdtContent>
      <w:p w:rsidR="009E53F5" w:rsidRDefault="002E1712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65F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3F5" w:rsidRDefault="009E53F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98"/>
    <w:rsid w:val="002E1712"/>
    <w:rsid w:val="00523898"/>
    <w:rsid w:val="007E267B"/>
    <w:rsid w:val="008966FA"/>
    <w:rsid w:val="009A7F0A"/>
    <w:rsid w:val="009E53F5"/>
    <w:rsid w:val="00A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523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523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2014-10-09T04:44:00Z</cp:lastPrinted>
  <dcterms:created xsi:type="dcterms:W3CDTF">2016-01-17T08:41:00Z</dcterms:created>
  <dcterms:modified xsi:type="dcterms:W3CDTF">2016-01-17T08:41:00Z</dcterms:modified>
  <dc:language>ru-RU</dc:language>
</cp:coreProperties>
</file>