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2F" w:rsidRDefault="003553C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7557E2">
        <w:rPr>
          <w:rFonts w:ascii="Times New Roman" w:hAnsi="Times New Roman" w:cs="Times New Roman"/>
          <w:sz w:val="28"/>
          <w:szCs w:val="28"/>
        </w:rPr>
        <w:t>12</w:t>
      </w:r>
    </w:p>
    <w:p w:rsidR="0085132F" w:rsidRDefault="003553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конференции членов жилищно-строительного кооператива «Университетский городок КФУ»</w:t>
      </w:r>
    </w:p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» апреля 201</w:t>
      </w:r>
      <w:r w:rsidR="00CC7AE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85132F" w:rsidRDefault="0085132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Pr="007557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:30, закончена в 1</w:t>
      </w:r>
      <w:r w:rsidRPr="007557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57E2">
        <w:rPr>
          <w:rFonts w:ascii="Times New Roman" w:hAnsi="Times New Roman" w:cs="Times New Roman"/>
          <w:sz w:val="28"/>
          <w:szCs w:val="28"/>
        </w:rPr>
        <w:t>25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начала собрания: 1</w:t>
      </w:r>
      <w:r w:rsidRPr="007557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557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Pr="00755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55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 г. Казань, ул. Кремлевская, д. 35 (учебный корпус №14 Казанского федерального университета), 108 аудитория.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собрании зарегистрировалось </w:t>
      </w:r>
      <w:r w:rsidRPr="007557E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человек, из которых 4 человека действовали через представителей на основании доверенностей.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избрания председателя конференции, секретаря конференции и лица, проводящего подсчет голосов, выступил член правления ЖСК С.И. Петров. Предложены, соответственно, кандидатуры председателя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члена правления ЖСК Хасанова Р.А. и члена ЖСК Пшеничного Сергея Павловича.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bookmarkStart w:id="1" w:name="__DdeLink__17407_246621812"/>
      <w:r>
        <w:rPr>
          <w:rFonts w:ascii="Times New Roman" w:hAnsi="Times New Roman" w:cs="Times New Roman"/>
          <w:sz w:val="28"/>
          <w:szCs w:val="28"/>
        </w:rPr>
        <w:t>конференции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секретарем конференции — Хасанова Р.А., лицом, проводящим подсчет голосов — Пшеничного С.П.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ac"/>
        <w:spacing w:after="0" w:line="240" w:lineRule="auto"/>
        <w:ind w:left="0"/>
        <w:jc w:val="both"/>
        <w:sectPr w:rsidR="0085132F">
          <w:headerReference w:type="default" r:id="rId8"/>
          <w:pgSz w:w="11906" w:h="16838"/>
          <w:pgMar w:top="1134" w:right="1134" w:bottom="1134" w:left="1134" w:header="709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 xml:space="preserve">1. Утверждение годового бухгалтерского (финансового) отчета ЖСК «Университетский городок КФУ» за 2015 год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Утверждение отчета о деятельности ревизионной комиссии ЖСК «Университетский городок КФУ» за 2015 год (докладчик – председатель ревизионной комиссии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аудиторского заключения о достоверности бухгалтерской (финансовой) отчетности ЖСК «Университетский городок КФУ» по итогам 2015 года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Утверждение решения о добровольном выходе граждан из членов ЖСК «Университетский городок КФУ»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Принятие решения о приеме граждан в члены ЖСК «Университетский городок КФУ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6. Принятие решения об одобрении договора на проектно-изыскательские работы по поселку ЖСК «Университетский городок КФУ» (стадия «Проект» и стадия «Рабочая документация») (докладчик – член правления ЖСК Хасанов Р.А.).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Утверждение отчета о деятельности правления ЖСК «Университетский городок КФУ» за 2015 год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3553CB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Избрание правления ЖСК «Университетский городок КФУ» (докладчик – председатель правления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А.Р.).</w:t>
      </w:r>
    </w:p>
    <w:p w:rsidR="0085132F" w:rsidRDefault="0085132F">
      <w:pPr>
        <w:pStyle w:val="ConsPlusNonformat"/>
        <w:jc w:val="both"/>
      </w:pPr>
    </w:p>
    <w:p w:rsidR="0085132F" w:rsidRDefault="003553CB">
      <w:pPr>
        <w:pStyle w:val="ConsPlusNonformat"/>
        <w:ind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По первому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годового бухгалтерского (финансового) отчета ЖСК «Университетский городок КФУ» за 2014 год».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составлен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ФинЭдвайс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годовой бухгалтерской (финансовой) отчетности  ЖСК «Университетский городок КФУ» за 2015 год. Полная скан-копия бухгалтерского отчета размещена на сайте ЖСК в сети Интернет.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проголосовать за утверждение годового бухгалтерского (финансового) отчета ЖСК «Университетский городок КФУ» за 2015 год.</w:t>
      </w:r>
    </w:p>
    <w:p w:rsidR="0085132F" w:rsidRDefault="00851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«за» - 64;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- 2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Бикчентаев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85132F" w:rsidRDefault="008513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бухгалтерский (финансовый) отчет ЖСК «Университетский городок КФУ» за 2015 год.</w:t>
      </w:r>
    </w:p>
    <w:p w:rsidR="0085132F" w:rsidRDefault="0085132F">
      <w:pPr>
        <w:pStyle w:val="ConsPlusNonformat"/>
        <w:jc w:val="both"/>
      </w:pPr>
    </w:p>
    <w:p w:rsidR="0085132F" w:rsidRDefault="0085132F">
      <w:pPr>
        <w:pStyle w:val="ConsPlusNonformat"/>
        <w:jc w:val="both"/>
      </w:pPr>
    </w:p>
    <w:p w:rsidR="0085132F" w:rsidRDefault="003553CB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>2. По второму вопросу: «Утверждение отчета о деятельности ревизионной комиссии ЖСК «Университетский городок КФУ» за 2015 год».</w:t>
      </w:r>
    </w:p>
    <w:p w:rsidR="0085132F" w:rsidRDefault="003553CB">
      <w:pPr>
        <w:pStyle w:val="ConsPlusNonformat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отчетом о деятельности ревизионной комиссии ЖСК за 2015 год выступил председатель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Он сообщил,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по итогам проверок членами ревизионной комиссии деятельности ЖСК «Университетский городок КФУ» ревизионной комиссией составлен акт ревизии финансово-хозяйственной деятельности ЖСК «Университетский городок КФУ» за период с 1 января по 31 декабря 2015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проверены следующие аспекты деятельности ЖСК:</w:t>
      </w: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учредительные документы;</w:t>
      </w: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организационно-правовая деятельность;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протоколы заседаний правления ЖСК;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протоколы конференций ЖСК;</w:t>
      </w: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законность заключенных договоров;</w:t>
      </w: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ЖСК;</w:t>
      </w: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ЖСК;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доходы в виде процентов по депозиту.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доложено об 11 договорах, заключенных и исполненных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ЖСК в 2015 году. Проведен анализ цен указанных договоров, объем исполнения по ним, правомерность их заключения и соблюдение порядка одобрения договоров.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качестве проблемы докладчиком выделен факт неоплаты членами ЖСК членских взносов. Отмечено наличие 22 членов ЖСК, не оплачивающих членские взносы в течение 12 и более месяцев. В ходе обсуждения членом ЖСК И.С. Антипиным предложено поручить правлению ЖСК разработать меры (информация на сайте, пени, изменение очередности выбора земельных участков) для стимулирования полной и своевременной оплаты членами ЖСК членских взносов.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акте сделаны следующие выводы: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Правление ЖСК действует в интересах ЖСК и всех его членов. Нецелевое использование средств не имеется. 2) Нарушения в финансово-хозяйственной деятельности ЖСК «Университетский городок КФУ» не выявлены. Акт подписан председателем ревизионной комиссии ЖСК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членами ревизионной комиссии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И.Г. Никитенко.</w:t>
      </w: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Предложено утвердить отчет о деятельности ревизионной комиссии ЖСК «Университетский городок КФУ» за 2015 год.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отчет о деятельности ревизионной комиссии ЖСК «Университетский городок КФУ» за 2015 год.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вопросу: «Утверждение аудиторского заключения о достоверности бухгалтерской (финансовой) отчетности ЖСК «Университетский городок </w:t>
      </w:r>
      <w:r>
        <w:rPr>
          <w:rFonts w:ascii="Times New Roman" w:hAnsi="Times New Roman" w:cs="Times New Roman"/>
          <w:sz w:val="28"/>
          <w:szCs w:val="28"/>
        </w:rPr>
        <w:lastRenderedPageBreak/>
        <w:t>КФУ» по итогам 2015 года».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уведомил о завершен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диторской проверки  годовой бухгалтерской (финансовой) отчетности  ЖСК «Университетский городок КФУ» за 2015 год. По результатам проверки ООО «Аудиторская фирма «Ауди» подготовлено аудиторское заключение от 19.04.2016 г.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бухгалтерская отчетность ЖСК «Университетский городок КФУ» отражает достоверно во всех существенных отношениях финансовое положение ЖСК по состоянию на 31 декабря 2015 г., финансовые результаты его  деятельности и движение денежных средств за 2015 год в соответствии с российскими правилами составления бухгалтерской отчетности.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утвердить аудиторское заключение о достоверности бухгалтерской (финансовой) отчетности ЖСК «Университетский городок КФУ» по итогам 2015 года.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аудиторское заключение о достоверности бухгалтерской (финансовой) отчетности ЖСК «Университетский городок КФУ» по итогам 2014 года.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вопросу: </w:t>
      </w:r>
      <w:r>
        <w:rPr>
          <w:rFonts w:ascii="Times New Roman" w:hAnsi="Times New Roman"/>
          <w:sz w:val="28"/>
          <w:szCs w:val="28"/>
        </w:rPr>
        <w:t>«Утверждение решения о добровольном выходе граждан из членов ЖСК «Университетский городок КФУ».</w:t>
      </w: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А.Р. </w:t>
      </w:r>
      <w:proofErr w:type="spellStart"/>
      <w:r>
        <w:rPr>
          <w:sz w:val="28"/>
          <w:szCs w:val="28"/>
        </w:rPr>
        <w:t>Ходжиев</w:t>
      </w:r>
      <w:proofErr w:type="spellEnd"/>
      <w:r>
        <w:rPr>
          <w:sz w:val="28"/>
          <w:szCs w:val="28"/>
        </w:rPr>
        <w:t xml:space="preserve"> сообщил о поступлении в правление ЖСК «Университетский городок КФУ» письменных заявлений от членов ЖСК </w:t>
      </w:r>
      <w:proofErr w:type="spellStart"/>
      <w:r>
        <w:rPr>
          <w:sz w:val="28"/>
          <w:szCs w:val="28"/>
        </w:rPr>
        <w:t>Вахитовой</w:t>
      </w:r>
      <w:proofErr w:type="spellEnd"/>
      <w:r>
        <w:rPr>
          <w:sz w:val="28"/>
          <w:szCs w:val="28"/>
        </w:rPr>
        <w:t xml:space="preserve"> Тины Муратовны, Гусевой Любовь Акимовны, Северьянова Олега Ивановича и </w:t>
      </w:r>
      <w:proofErr w:type="spellStart"/>
      <w:r>
        <w:rPr>
          <w:sz w:val="28"/>
          <w:szCs w:val="28"/>
        </w:rPr>
        <w:t>Хасьянова</w:t>
      </w:r>
      <w:proofErr w:type="spellEnd"/>
      <w:r>
        <w:rPr>
          <w:sz w:val="28"/>
          <w:szCs w:val="28"/>
        </w:rPr>
        <w:t xml:space="preserve"> Айрата </w:t>
      </w:r>
      <w:proofErr w:type="spellStart"/>
      <w:r>
        <w:rPr>
          <w:sz w:val="28"/>
          <w:szCs w:val="28"/>
        </w:rPr>
        <w:t>Фаридовича</w:t>
      </w:r>
      <w:proofErr w:type="spellEnd"/>
      <w:r>
        <w:rPr>
          <w:sz w:val="28"/>
          <w:szCs w:val="28"/>
        </w:rPr>
        <w:t xml:space="preserve"> о добровольном выходе из числа членов ЖСК «Университетский городок КФУ». Заявления указанных членов ЖСК были рассмотрены на заседании правления ЖСК «Университетский городок КФУ» и было принято решение о вынесении на утверждение конференции членов ЖСК «Университетский городок КФУ» решения о добровольном выходе указанных граждан из числа членов ЖСК (протокол № 24).</w:t>
      </w: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Предложено утвердить решение о добровольном выходе </w:t>
      </w:r>
      <w:proofErr w:type="spellStart"/>
      <w:r>
        <w:rPr>
          <w:sz w:val="28"/>
          <w:szCs w:val="28"/>
        </w:rPr>
        <w:t>Вахитовой</w:t>
      </w:r>
      <w:proofErr w:type="spellEnd"/>
      <w:r>
        <w:rPr>
          <w:sz w:val="28"/>
          <w:szCs w:val="28"/>
        </w:rPr>
        <w:t xml:space="preserve"> Т.М., Гусевой Л.А., Северьянова О.И. и </w:t>
      </w:r>
      <w:proofErr w:type="spellStart"/>
      <w:r>
        <w:rPr>
          <w:sz w:val="28"/>
          <w:szCs w:val="28"/>
        </w:rPr>
        <w:t>Хасьянова</w:t>
      </w:r>
      <w:proofErr w:type="spellEnd"/>
      <w:r>
        <w:rPr>
          <w:sz w:val="28"/>
          <w:szCs w:val="28"/>
        </w:rPr>
        <w:t xml:space="preserve"> А.Ф. из числа членов ЖСК «Университетский городок КФУ».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«воздержались» - нет.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утвердить решение о добровольном выходе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Гусевой Л.А., Северьянова О.И.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из числа членов ЖСК «Университетский городок КФУ».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>5. По пятому вопросу «Принятие решения о приеме граждан в члены ЖСК «Университетский городок КФУ».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сообщением о поступлении в правление ЖСК «Университетский городок КФУ» 6 заявлений о приеме в члены ЖСК от сотрудников Казанского федерального университета, имеющих право на участие в ЖСК, согласно ст. 16.5.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24.07.2008 №161 «О содействии развитию жилищного строительства» и Постановлению Правительства Российской Федерации от 09.02.2012 №108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кооперативов».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проголосовать за прием в члены ЖСК «Университетский городок КФУ» граждан — сотрудников КФУ, подавших заявления о приеме в члены ЖСК, списком (Приложение 1).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>Постановили: принять в члены ЖСК «Университетский городок КФУ» граждан - сотрудников КФУ в количестве 6 человек (Приложение 1), подавших заявления о приеме в члены ЖСК.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>6. По шестому вопросу: «Принятие решения об одобрении договора на проектно-изыскательские работы по поселку ЖСК «Университетский городок КФУ» (стадия «Проект» и стадия «Рабочая документация»)».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Р.А. Хасанов сообщил о том, что подготовленные ООО «Ай Пи Групп» проект планировки и проект межевания находятся на согласовании в Фонде РЖС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исполкома г. Казани,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прохождения указанных процедур у ЖСК будут в наличии исходные данные для подготовки рабочего проекта инженерных сетей, дорог и жилых домов поселка ЖСК. С целью определения организации, которая выступит в качестве проектанта по указанным проектно-изыскательским работам, правлением ЖСК были направлены приглашения на выдвижение коммерческих предложений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проектно-изыскательские работы по поселку ЖСК (стадия «Проект» и стадия «Рабочая документация») четырем проектным организациям: АО «Институт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Татдорпроект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-Проект», ООО «Ай Пи Групп»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«Акведук». От указанных компаний в правление ЖСК поступили коммерческие предложения с указанием стоимости оказания вышеуказанных услуг (Приложение 2).</w:t>
      </w: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п. 87 Устава ЖСК одобрение сделок стоимостью более 800 000 (восемьсот тысяч) рублей входит в компетенцию конференции членов ЖСК. По результатам обсуждения поступивших коммерческих предложений правлением ЖСК рекомендовано одобрить заключение договора на выполнение проектно-изыскательских работ по поселку ЖСК (стадия «Проект» и стадия «Рабочая документация») с АО «Институт «</w:t>
      </w:r>
      <w:proofErr w:type="spellStart"/>
      <w:r>
        <w:rPr>
          <w:sz w:val="28"/>
          <w:szCs w:val="28"/>
        </w:rPr>
        <w:t>Татдорпроект</w:t>
      </w:r>
      <w:proofErr w:type="spellEnd"/>
      <w:r>
        <w:rPr>
          <w:sz w:val="28"/>
          <w:szCs w:val="28"/>
        </w:rPr>
        <w:t xml:space="preserve">» по цене 9 200 167 рублей.  </w:t>
      </w: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ab/>
        <w:t>Предложено одобрить заключение договора на выполнение проектно-изыскательских работ по поселку ЖСК (стадия «Проект» и стадия «Рабочая документация») с АО «Институт «</w:t>
      </w:r>
      <w:proofErr w:type="spellStart"/>
      <w:r>
        <w:rPr>
          <w:sz w:val="28"/>
          <w:szCs w:val="28"/>
        </w:rPr>
        <w:t>Татдорпроект</w:t>
      </w:r>
      <w:proofErr w:type="spellEnd"/>
      <w:r>
        <w:rPr>
          <w:sz w:val="28"/>
          <w:szCs w:val="28"/>
        </w:rPr>
        <w:t>» по цене 9 200 167 рублей.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- 65;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- 1 (Сафина А.А.).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одобрить заключение договора на выполнение проектно-изыскательских работ по поселку ЖСК «Университетский городок КФУ» (стадия «Проект» и стадия «Рабочая документация») с АО «Институт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Татдорпроект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цене 9 200 167 (девять миллионов двести тысяч сто шестьдесят семь) рублей.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>7. По седьмому вопросу: «Утверждение отчета о деятельности правления ЖСК «Университетский городок КФУ» за 2015 год».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подготовке отчета о деятельности правления  ЖСК «Университетский городок КФУ» за 2015 год. Докладчиком изложены основные положения отчета, в том числе о: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получения земельного участка в безвозмездное пользование;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снижении количества членов ЖСК, утвержденном Фондом РЖС;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заключении договоров, в частности на разработку проекта планировки, проекта межевания и эскизного проекта с ООО «Ай Пи Групп» и на осуществление функции технического заказчика с ООО «Радиант»;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приеме новых членов в ЖСК;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сборе паевых взносов;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геодезических работах на земельном участке ЖСК, геологических изысканиях и проведении работ по уборке строительного мусора, закрытию участка и размещению на нем информационных стендов;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 функционировании сайта ЖСК и заключение договора на его техническую поддержку;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 получении технических условий на присоединение к инженерным сетям и на технологическое присоединение.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доклада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предложено утвердить годовой отчет о деятельности правления ЖСК «Университетский городок КФУ» за 2015 год.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отчет о деятельности правления ЖСК «Университетский городок КФУ» за 2015 год.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fr-tag"/>
        <w:spacing w:before="0" w:after="0"/>
        <w:jc w:val="both"/>
      </w:pPr>
      <w:r>
        <w:rPr>
          <w:sz w:val="28"/>
          <w:szCs w:val="28"/>
        </w:rPr>
        <w:t>8. По восьмому вопросу: «Избрание правления ЖСК «Университетский городок КФУ».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необходимости избрать членов правления ЖСК «Университетский городок КФУ» на годовой конференции членов ЖСК согласно п. 81 Устава ЖСК.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Предложено переизбрать действующее правление ЖСК списком. Вместе с тем по причине выхода из членов ЖСК О.И. Северьянова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внести в список на избрание членов правления ЖСК сложившего полномочия председателя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предложено проголосовать за включение члена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в список на избрание членов правления ЖСК.</w:t>
      </w:r>
    </w:p>
    <w:p w:rsidR="0085132F" w:rsidRDefault="0085132F">
      <w:pPr>
        <w:widowControl w:val="0"/>
        <w:spacing w:after="0" w:line="240" w:lineRule="auto"/>
        <w:ind w:firstLine="567"/>
        <w:jc w:val="both"/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widowControl w:val="0"/>
        <w:spacing w:after="0" w:line="240" w:lineRule="auto"/>
        <w:ind w:firstLine="567"/>
        <w:jc w:val="both"/>
      </w:pP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Член ЖСК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включен в список на избрание членов правления ЖСК. Поступило предложение избрать на 1 год членами правления ЖСК «Университетский городок КФУ» членов ЖСК Петрова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5132F" w:rsidRDefault="003553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5132F" w:rsidRDefault="003553C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Избрать на 1 год членами правления ЖСК «Университетский городок КФУ» членов ЖСК Петрова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Николаевича,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32F" w:rsidRDefault="008513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85132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  <w:r>
        <w:br w:type="page"/>
      </w:r>
    </w:p>
    <w:p w:rsidR="0085132F" w:rsidRDefault="003553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 протоколу № 12 годовой конференции членов ЖСК от 27.04.2016</w:t>
      </w:r>
    </w:p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Список граждан, подавших заявление на прием в члены ЖСК «Университетский городок КФУ» на 27.04.2016</w:t>
      </w:r>
    </w:p>
    <w:tbl>
      <w:tblPr>
        <w:tblStyle w:val="af0"/>
        <w:tblW w:w="6380" w:type="dxa"/>
        <w:tblInd w:w="1072" w:type="dxa"/>
        <w:tblLook w:val="04A0" w:firstRow="1" w:lastRow="0" w:firstColumn="1" w:lastColumn="0" w:noHBand="0" w:noVBand="1"/>
      </w:tblPr>
      <w:tblGrid>
        <w:gridCol w:w="774"/>
        <w:gridCol w:w="5606"/>
      </w:tblGrid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Гиндуллин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3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Фаикович</w:t>
            </w:r>
            <w:proofErr w:type="spellEnd"/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Мирзагитов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Хамитович</w:t>
            </w:r>
            <w:proofErr w:type="spellEnd"/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Наталья Леонидовна</w:t>
            </w:r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Борисович</w:t>
            </w:r>
          </w:p>
        </w:tc>
      </w:tr>
      <w:tr w:rsidR="0085132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45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Шемахин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</w:tr>
    </w:tbl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5132F" w:rsidRDefault="003553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5132F" w:rsidRDefault="003553C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 протоколу № 12 годовой конференции членов ЖСК от 27.04.2016</w:t>
      </w:r>
    </w:p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3553C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предложения, поступившие в правление ЖСК от проектных организаций г. Казани на выполнение проектно-изыскательских работ по поселку ЖСК «Университетский городок КФУ» (стадия «Проект» и стадия «Рабочая документация»)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704"/>
        <w:gridCol w:w="5213"/>
        <w:gridCol w:w="3654"/>
      </w:tblGrid>
      <w:tr w:rsidR="0085132F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1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24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(рублей)</w:t>
            </w:r>
          </w:p>
        </w:tc>
      </w:tr>
      <w:tr w:rsidR="0085132F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«Ай Пи Групп»</w:t>
            </w:r>
          </w:p>
        </w:tc>
        <w:tc>
          <w:tcPr>
            <w:tcW w:w="3724" w:type="dxa"/>
            <w:shd w:val="clear" w:color="auto" w:fill="auto"/>
            <w:tcMar>
              <w:left w:w="108" w:type="dxa"/>
            </w:tcMar>
            <w:vAlign w:val="center"/>
          </w:tcPr>
          <w:p w:rsidR="0085132F" w:rsidRDefault="003553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16 000 000, 00</w:t>
            </w:r>
          </w:p>
        </w:tc>
      </w:tr>
      <w:tr w:rsidR="0085132F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«Акведук»</w:t>
            </w:r>
          </w:p>
        </w:tc>
        <w:tc>
          <w:tcPr>
            <w:tcW w:w="3724" w:type="dxa"/>
            <w:shd w:val="clear" w:color="auto" w:fill="auto"/>
            <w:tcMar>
              <w:left w:w="108" w:type="dxa"/>
            </w:tcMar>
            <w:vAlign w:val="center"/>
          </w:tcPr>
          <w:p w:rsidR="0085132F" w:rsidRDefault="003553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15 020 000, 00</w:t>
            </w:r>
          </w:p>
        </w:tc>
      </w:tr>
      <w:tr w:rsidR="0085132F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-Проект»</w:t>
            </w:r>
          </w:p>
        </w:tc>
        <w:tc>
          <w:tcPr>
            <w:tcW w:w="3724" w:type="dxa"/>
            <w:shd w:val="clear" w:color="auto" w:fill="auto"/>
            <w:tcMar>
              <w:left w:w="108" w:type="dxa"/>
            </w:tcMar>
            <w:vAlign w:val="center"/>
          </w:tcPr>
          <w:p w:rsidR="0085132F" w:rsidRDefault="003553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9 300 000, 00</w:t>
            </w:r>
          </w:p>
        </w:tc>
      </w:tr>
      <w:tr w:rsidR="0085132F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pStyle w:val="ac"/>
              <w:numPr>
                <w:ilvl w:val="0"/>
                <w:numId w:val="2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  <w:shd w:val="clear" w:color="auto" w:fill="auto"/>
            <w:tcMar>
              <w:left w:w="108" w:type="dxa"/>
            </w:tcMar>
          </w:tcPr>
          <w:p w:rsidR="0085132F" w:rsidRDefault="003553CB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«Институт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Татдорпроект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4" w:type="dxa"/>
            <w:shd w:val="clear" w:color="auto" w:fill="auto"/>
            <w:tcMar>
              <w:left w:w="108" w:type="dxa"/>
            </w:tcMar>
            <w:vAlign w:val="center"/>
          </w:tcPr>
          <w:p w:rsidR="0085132F" w:rsidRDefault="003553C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9 200 167, 00</w:t>
            </w:r>
          </w:p>
        </w:tc>
      </w:tr>
    </w:tbl>
    <w:p w:rsidR="0085132F" w:rsidRDefault="008513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2F" w:rsidRDefault="0085132F"/>
    <w:sectPr w:rsidR="0085132F">
      <w:headerReference w:type="default" r:id="rId9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3" w:rsidRDefault="00955553">
      <w:pPr>
        <w:spacing w:after="0" w:line="240" w:lineRule="auto"/>
      </w:pPr>
      <w:r>
        <w:separator/>
      </w:r>
    </w:p>
  </w:endnote>
  <w:endnote w:type="continuationSeparator" w:id="0">
    <w:p w:rsidR="00955553" w:rsidRDefault="0095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3" w:rsidRDefault="00955553">
      <w:pPr>
        <w:spacing w:after="0" w:line="240" w:lineRule="auto"/>
      </w:pPr>
      <w:r>
        <w:separator/>
      </w:r>
    </w:p>
  </w:footnote>
  <w:footnote w:type="continuationSeparator" w:id="0">
    <w:p w:rsidR="00955553" w:rsidRDefault="0095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435603"/>
      <w:docPartObj>
        <w:docPartGallery w:val="Page Numbers (Top of Page)"/>
        <w:docPartUnique/>
      </w:docPartObj>
    </w:sdtPr>
    <w:sdtEndPr/>
    <w:sdtContent>
      <w:p w:rsidR="0085132F" w:rsidRDefault="003553CB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85132F" w:rsidRDefault="0085132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084153"/>
      <w:docPartObj>
        <w:docPartGallery w:val="Page Numbers (Top of Page)"/>
        <w:docPartUnique/>
      </w:docPartObj>
    </w:sdtPr>
    <w:sdtEndPr/>
    <w:sdtContent>
      <w:p w:rsidR="0085132F" w:rsidRDefault="003553CB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C7AEC">
          <w:rPr>
            <w:noProof/>
          </w:rPr>
          <w:t>2</w:t>
        </w:r>
        <w:r>
          <w:fldChar w:fldCharType="end"/>
        </w:r>
      </w:p>
    </w:sdtContent>
  </w:sdt>
  <w:p w:rsidR="0085132F" w:rsidRDefault="008513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385"/>
    <w:multiLevelType w:val="multilevel"/>
    <w:tmpl w:val="6174F9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1D4E34"/>
    <w:multiLevelType w:val="multilevel"/>
    <w:tmpl w:val="AA700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3FD"/>
    <w:multiLevelType w:val="multilevel"/>
    <w:tmpl w:val="FF0875F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2F"/>
    <w:rsid w:val="003553CB"/>
    <w:rsid w:val="007557E2"/>
    <w:rsid w:val="0085132F"/>
    <w:rsid w:val="00955553"/>
    <w:rsid w:val="00C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2014-10-09T04:44:00Z</cp:lastPrinted>
  <dcterms:created xsi:type="dcterms:W3CDTF">2016-06-27T20:06:00Z</dcterms:created>
  <dcterms:modified xsi:type="dcterms:W3CDTF">2016-06-27T20:06:00Z</dcterms:modified>
  <dc:language>ru-RU</dc:language>
</cp:coreProperties>
</file>